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4DE2C">
      <w:pPr>
        <w:spacing w:line="360" w:lineRule="auto"/>
        <w:jc w:val="center"/>
        <w:outlineLvl w:val="0"/>
        <w:rPr>
          <w:rFonts w:ascii="Times New Roman" w:hAnsi="Times New Roman" w:eastAsia="宋体" w:cs="Times New Roman"/>
          <w:b/>
          <w:sz w:val="36"/>
          <w:szCs w:val="36"/>
          <w:highlight w:val="none"/>
        </w:rPr>
      </w:pPr>
      <w:r>
        <w:rPr>
          <w:rFonts w:ascii="Times New Roman" w:hAnsi="Times New Roman" w:eastAsia="宋体" w:cs="Times New Roman"/>
          <w:b/>
          <w:sz w:val="36"/>
          <w:szCs w:val="36"/>
          <w:highlight w:val="none"/>
        </w:rPr>
        <w:t xml:space="preserve"> 采购需求</w:t>
      </w:r>
    </w:p>
    <w:p w14:paraId="43900B21">
      <w:pPr>
        <w:spacing w:line="360" w:lineRule="auto"/>
        <w:contextualSpacing/>
        <w:rPr>
          <w:rFonts w:ascii="宋体" w:hAnsi="宋体" w:eastAsia="宋体" w:cs="Times New Roman"/>
          <w:b/>
          <w:sz w:val="24"/>
          <w:highlight w:val="none"/>
        </w:rPr>
      </w:pPr>
      <w:r>
        <w:rPr>
          <w:rFonts w:hint="eastAsia" w:ascii="宋体" w:hAnsi="宋体" w:eastAsia="宋体" w:cs="Times New Roman"/>
          <w:b/>
          <w:sz w:val="24"/>
          <w:highlight w:val="none"/>
        </w:rPr>
        <w:t>一、</w:t>
      </w:r>
      <w:r>
        <w:rPr>
          <w:rFonts w:ascii="宋体" w:hAnsi="宋体" w:eastAsia="宋体" w:cs="Times New Roman"/>
          <w:b/>
          <w:sz w:val="24"/>
          <w:highlight w:val="none"/>
        </w:rPr>
        <w:t>采购标的</w:t>
      </w:r>
    </w:p>
    <w:p w14:paraId="74FECEB8">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1. 采购标的（货物需求一览表或简要服务内容及数量）</w:t>
      </w:r>
    </w:p>
    <w:p w14:paraId="3BC021A3">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以下条款中打“★”号的条款为实质性响应条款，如投标人的《投标文件》中不满足任何一项实质性条款，为不实质性响应《招标文件》，其《投标文件》将被拒绝。打“#”号</w:t>
      </w:r>
      <w:bookmarkStart w:id="0" w:name="_GoBack"/>
      <w:bookmarkEnd w:id="0"/>
      <w:r>
        <w:rPr>
          <w:rFonts w:hint="eastAsia" w:ascii="宋体" w:hAnsi="宋体" w:eastAsia="宋体" w:cs="Times New Roman"/>
          <w:bCs/>
          <w:sz w:val="24"/>
          <w:highlight w:val="none"/>
        </w:rPr>
        <w:t>条款标注的内容为该车辆重点技术指标项，将作为重要评分指标。</w:t>
      </w:r>
    </w:p>
    <w:p w14:paraId="063493C5">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本项目不专门面向中小企业采购。</w:t>
      </w:r>
    </w:p>
    <w:p w14:paraId="1856BCA1">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需求一览表</w:t>
      </w:r>
    </w:p>
    <w:tbl>
      <w:tblPr>
        <w:tblStyle w:val="2"/>
        <w:tblW w:w="8515"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99"/>
        <w:gridCol w:w="2471"/>
        <w:gridCol w:w="1431"/>
        <w:gridCol w:w="860"/>
        <w:gridCol w:w="1186"/>
        <w:gridCol w:w="1568"/>
      </w:tblGrid>
      <w:tr w14:paraId="1287409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11" w:hRule="atLeast"/>
        </w:trPr>
        <w:tc>
          <w:tcPr>
            <w:tcW w:w="999" w:type="dxa"/>
            <w:tcBorders>
              <w:tl2br w:val="nil"/>
              <w:tr2bl w:val="nil"/>
            </w:tcBorders>
            <w:vAlign w:val="center"/>
          </w:tcPr>
          <w:p w14:paraId="6311A666">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序号</w:t>
            </w:r>
          </w:p>
        </w:tc>
        <w:tc>
          <w:tcPr>
            <w:tcW w:w="2471" w:type="dxa"/>
            <w:tcBorders>
              <w:tl2br w:val="nil"/>
              <w:tr2bl w:val="nil"/>
            </w:tcBorders>
            <w:vAlign w:val="center"/>
          </w:tcPr>
          <w:p w14:paraId="5E1A74C3">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货物名称</w:t>
            </w:r>
          </w:p>
        </w:tc>
        <w:tc>
          <w:tcPr>
            <w:tcW w:w="1431" w:type="dxa"/>
            <w:tcBorders>
              <w:tl2br w:val="nil"/>
              <w:tr2bl w:val="nil"/>
            </w:tcBorders>
            <w:vAlign w:val="center"/>
          </w:tcPr>
          <w:p w14:paraId="28F38E7E">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数量</w:t>
            </w:r>
          </w:p>
        </w:tc>
        <w:tc>
          <w:tcPr>
            <w:tcW w:w="860" w:type="dxa"/>
            <w:tcBorders>
              <w:tl2br w:val="nil"/>
              <w:tr2bl w:val="nil"/>
            </w:tcBorders>
            <w:vAlign w:val="center"/>
          </w:tcPr>
          <w:p w14:paraId="67ACD2EE">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单位</w:t>
            </w:r>
          </w:p>
        </w:tc>
        <w:tc>
          <w:tcPr>
            <w:tcW w:w="1186" w:type="dxa"/>
            <w:tcBorders>
              <w:tl2br w:val="nil"/>
              <w:tr2bl w:val="nil"/>
            </w:tcBorders>
            <w:vAlign w:val="center"/>
          </w:tcPr>
          <w:p w14:paraId="2CFF73CC">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是否接受进口产品</w:t>
            </w:r>
          </w:p>
        </w:tc>
        <w:tc>
          <w:tcPr>
            <w:tcW w:w="1568" w:type="dxa"/>
            <w:tcBorders>
              <w:tl2br w:val="nil"/>
              <w:tr2bl w:val="nil"/>
            </w:tcBorders>
            <w:vAlign w:val="center"/>
          </w:tcPr>
          <w:p w14:paraId="5DCDFBEA">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是否核心产品</w:t>
            </w:r>
          </w:p>
        </w:tc>
      </w:tr>
      <w:tr w14:paraId="4CB0D6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90" w:hRule="atLeast"/>
        </w:trPr>
        <w:tc>
          <w:tcPr>
            <w:tcW w:w="999" w:type="dxa"/>
            <w:tcBorders>
              <w:tl2br w:val="nil"/>
              <w:tr2bl w:val="nil"/>
            </w:tcBorders>
            <w:vAlign w:val="center"/>
          </w:tcPr>
          <w:p w14:paraId="2EFEFB89">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1</w:t>
            </w:r>
          </w:p>
        </w:tc>
        <w:tc>
          <w:tcPr>
            <w:tcW w:w="2471" w:type="dxa"/>
            <w:tcBorders>
              <w:tl2br w:val="nil"/>
              <w:tr2bl w:val="nil"/>
            </w:tcBorders>
            <w:vAlign w:val="center"/>
          </w:tcPr>
          <w:p w14:paraId="6BF2104F">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新能源越野车</w:t>
            </w:r>
          </w:p>
        </w:tc>
        <w:tc>
          <w:tcPr>
            <w:tcW w:w="1431" w:type="dxa"/>
            <w:tcBorders>
              <w:tl2br w:val="nil"/>
              <w:tr2bl w:val="nil"/>
            </w:tcBorders>
            <w:vAlign w:val="center"/>
          </w:tcPr>
          <w:p w14:paraId="504E5A1E">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3</w:t>
            </w:r>
          </w:p>
        </w:tc>
        <w:tc>
          <w:tcPr>
            <w:tcW w:w="860" w:type="dxa"/>
            <w:tcBorders>
              <w:tl2br w:val="nil"/>
              <w:tr2bl w:val="nil"/>
            </w:tcBorders>
            <w:vAlign w:val="center"/>
          </w:tcPr>
          <w:p w14:paraId="45C903ED">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辆</w:t>
            </w:r>
          </w:p>
        </w:tc>
        <w:tc>
          <w:tcPr>
            <w:tcW w:w="1186" w:type="dxa"/>
            <w:tcBorders>
              <w:tl2br w:val="nil"/>
              <w:tr2bl w:val="nil"/>
            </w:tcBorders>
            <w:vAlign w:val="center"/>
          </w:tcPr>
          <w:p w14:paraId="6645255F">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否</w:t>
            </w:r>
          </w:p>
        </w:tc>
        <w:tc>
          <w:tcPr>
            <w:tcW w:w="1568" w:type="dxa"/>
            <w:tcBorders>
              <w:tl2br w:val="nil"/>
              <w:tr2bl w:val="nil"/>
            </w:tcBorders>
            <w:vAlign w:val="center"/>
          </w:tcPr>
          <w:p w14:paraId="7F6C718A">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否</w:t>
            </w:r>
          </w:p>
        </w:tc>
      </w:tr>
      <w:tr w14:paraId="24F00F6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90" w:hRule="atLeast"/>
        </w:trPr>
        <w:tc>
          <w:tcPr>
            <w:tcW w:w="999" w:type="dxa"/>
            <w:tcBorders>
              <w:tl2br w:val="nil"/>
              <w:tr2bl w:val="nil"/>
            </w:tcBorders>
            <w:vAlign w:val="center"/>
          </w:tcPr>
          <w:p w14:paraId="1B262D13">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2</w:t>
            </w:r>
          </w:p>
        </w:tc>
        <w:tc>
          <w:tcPr>
            <w:tcW w:w="2471" w:type="dxa"/>
            <w:tcBorders>
              <w:tl2br w:val="nil"/>
              <w:tr2bl w:val="nil"/>
            </w:tcBorders>
            <w:vAlign w:val="center"/>
          </w:tcPr>
          <w:p w14:paraId="33571C0E">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越野车（汽油）</w:t>
            </w:r>
          </w:p>
        </w:tc>
        <w:tc>
          <w:tcPr>
            <w:tcW w:w="1431" w:type="dxa"/>
            <w:tcBorders>
              <w:tl2br w:val="nil"/>
              <w:tr2bl w:val="nil"/>
            </w:tcBorders>
            <w:vAlign w:val="center"/>
          </w:tcPr>
          <w:p w14:paraId="3A66BFD3">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6</w:t>
            </w:r>
          </w:p>
        </w:tc>
        <w:tc>
          <w:tcPr>
            <w:tcW w:w="860" w:type="dxa"/>
            <w:tcBorders>
              <w:tl2br w:val="nil"/>
              <w:tr2bl w:val="nil"/>
            </w:tcBorders>
            <w:vAlign w:val="center"/>
          </w:tcPr>
          <w:p w14:paraId="39EFAE6F">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辆</w:t>
            </w:r>
          </w:p>
        </w:tc>
        <w:tc>
          <w:tcPr>
            <w:tcW w:w="1186" w:type="dxa"/>
            <w:tcBorders>
              <w:tl2br w:val="nil"/>
              <w:tr2bl w:val="nil"/>
            </w:tcBorders>
            <w:vAlign w:val="center"/>
          </w:tcPr>
          <w:p w14:paraId="292013E7">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否</w:t>
            </w:r>
          </w:p>
        </w:tc>
        <w:tc>
          <w:tcPr>
            <w:tcW w:w="1568" w:type="dxa"/>
            <w:tcBorders>
              <w:tl2br w:val="nil"/>
              <w:tr2bl w:val="nil"/>
            </w:tcBorders>
            <w:vAlign w:val="center"/>
          </w:tcPr>
          <w:p w14:paraId="00B60D0F">
            <w:pPr>
              <w:spacing w:line="360" w:lineRule="auto"/>
              <w:contextualSpacing/>
              <w:jc w:val="center"/>
              <w:rPr>
                <w:rFonts w:ascii="宋体" w:hAnsi="宋体" w:eastAsia="宋体" w:cs="Times New Roman"/>
                <w:bCs/>
                <w:sz w:val="24"/>
                <w:highlight w:val="none"/>
              </w:rPr>
            </w:pPr>
            <w:r>
              <w:rPr>
                <w:rFonts w:hint="eastAsia" w:ascii="宋体" w:hAnsi="宋体" w:eastAsia="宋体" w:cs="Times New Roman"/>
                <w:bCs/>
                <w:sz w:val="24"/>
                <w:highlight w:val="none"/>
              </w:rPr>
              <w:t>是</w:t>
            </w:r>
          </w:p>
        </w:tc>
      </w:tr>
    </w:tbl>
    <w:p w14:paraId="44ECC4FA">
      <w:pPr>
        <w:spacing w:line="360" w:lineRule="auto"/>
        <w:contextualSpacing/>
        <w:rPr>
          <w:rFonts w:ascii="宋体" w:hAnsi="宋体" w:eastAsia="宋体" w:cs="Times New Roman"/>
          <w:bCs/>
          <w:sz w:val="24"/>
          <w:highlight w:val="none"/>
        </w:rPr>
      </w:pPr>
    </w:p>
    <w:p w14:paraId="6591CC29">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2. 项目背景/项目概述（如有）</w:t>
      </w:r>
    </w:p>
    <w:p w14:paraId="295F978E">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拟采购教学用具新能源越野车3辆，越野车（汽油）6辆开展正常教学训练工作。</w:t>
      </w:r>
    </w:p>
    <w:p w14:paraId="419E8BF7">
      <w:pPr>
        <w:spacing w:line="360" w:lineRule="auto"/>
        <w:contextualSpacing/>
        <w:rPr>
          <w:rFonts w:ascii="宋体" w:hAnsi="宋体" w:eastAsia="宋体" w:cs="Times New Roman"/>
          <w:b/>
          <w:sz w:val="24"/>
          <w:highlight w:val="none"/>
        </w:rPr>
      </w:pPr>
      <w:r>
        <w:rPr>
          <w:rFonts w:hint="eastAsia" w:ascii="宋体" w:hAnsi="宋体" w:eastAsia="宋体" w:cs="Times New Roman"/>
          <w:b/>
          <w:sz w:val="24"/>
          <w:highlight w:val="none"/>
        </w:rPr>
        <w:t>二、</w:t>
      </w:r>
      <w:r>
        <w:rPr>
          <w:rFonts w:ascii="宋体" w:hAnsi="宋体" w:eastAsia="宋体" w:cs="Times New Roman"/>
          <w:b/>
          <w:sz w:val="24"/>
          <w:highlight w:val="none"/>
        </w:rPr>
        <w:t>商务要求</w:t>
      </w:r>
    </w:p>
    <w:p w14:paraId="3A01FC67">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1. 交付（实施）的时间（期限）和地点（范围）</w:t>
      </w:r>
    </w:p>
    <w:p w14:paraId="49C58CEF">
      <w:pPr>
        <w:spacing w:line="360" w:lineRule="auto"/>
        <w:ind w:firstLine="482" w:firstLineChars="200"/>
        <w:contextualSpacing/>
        <w:rPr>
          <w:rFonts w:ascii="宋体" w:hAnsi="宋体" w:eastAsia="宋体" w:cs="Times New Roman"/>
          <w:b/>
          <w:sz w:val="24"/>
          <w:highlight w:val="none"/>
        </w:rPr>
      </w:pPr>
      <w:r>
        <w:rPr>
          <w:rFonts w:hint="eastAsia" w:ascii="宋体" w:hAnsi="宋体" w:eastAsia="宋体" w:cs="Times New Roman"/>
          <w:b/>
          <w:sz w:val="24"/>
          <w:highlight w:val="none"/>
        </w:rPr>
        <w:t>★（1）交付期：合同签订后30个日历日内交付车辆（提供承诺书，格式自拟，并加盖投标人公章）；</w:t>
      </w:r>
    </w:p>
    <w:p w14:paraId="03C198DD">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 xml:space="preserve">  （2）交付地点：采购人指定北京市地点。</w:t>
      </w:r>
    </w:p>
    <w:p w14:paraId="2E371DC1">
      <w:pPr>
        <w:spacing w:line="360" w:lineRule="auto"/>
        <w:ind w:firstLine="480" w:firstLineChars="200"/>
        <w:contextualSpacing/>
        <w:rPr>
          <w:rFonts w:ascii="宋体" w:hAnsi="宋体" w:eastAsia="宋体" w:cs="Times New Roman"/>
          <w:bCs/>
          <w:sz w:val="24"/>
          <w:highlight w:val="none"/>
        </w:rPr>
      </w:pPr>
    </w:p>
    <w:p w14:paraId="5F03A7CF">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2. 付款条件（进度和方式）</w:t>
      </w:r>
    </w:p>
    <w:p w14:paraId="5EF4C6C6">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一次性支付：中标人交付货物，采购人验收合格后3 个工作日内支付合同总价。</w:t>
      </w:r>
    </w:p>
    <w:p w14:paraId="3977690B">
      <w:pPr>
        <w:spacing w:line="360" w:lineRule="auto"/>
        <w:ind w:firstLine="480" w:firstLineChars="200"/>
        <w:contextualSpacing/>
        <w:rPr>
          <w:rFonts w:ascii="宋体" w:hAnsi="宋体" w:eastAsia="宋体" w:cs="Times New Roman"/>
          <w:bCs/>
          <w:sz w:val="24"/>
          <w:highlight w:val="none"/>
        </w:rPr>
      </w:pPr>
    </w:p>
    <w:p w14:paraId="17F9952F">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3. 包装和运输（如适用，须满足《关于印发〈商品包装政府采购需求标准（试行）〉、〈快递包装政府采购需求标准（试行）〉的通知》（财办库﹝2020﹞123号））</w:t>
      </w:r>
    </w:p>
    <w:p w14:paraId="42C0547B">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供应商负责运输。</w:t>
      </w:r>
    </w:p>
    <w:p w14:paraId="7E57215B">
      <w:pPr>
        <w:spacing w:line="360" w:lineRule="auto"/>
        <w:ind w:firstLine="480" w:firstLineChars="200"/>
        <w:contextualSpacing/>
        <w:rPr>
          <w:rFonts w:ascii="宋体" w:hAnsi="宋体" w:eastAsia="宋体" w:cs="Times New Roman"/>
          <w:bCs/>
          <w:sz w:val="24"/>
          <w:highlight w:val="none"/>
        </w:rPr>
      </w:pPr>
    </w:p>
    <w:p w14:paraId="4510D2B9">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4. 售后服务（质保期）</w:t>
      </w:r>
    </w:p>
    <w:p w14:paraId="0C93D7D2">
      <w:pPr>
        <w:spacing w:after="160"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（1）整车质量保修期：所投车辆保修期限不低于1年或者行驶里程30,000公里，以先到者为准；</w:t>
      </w:r>
      <w:r>
        <w:rPr>
          <w:rFonts w:ascii="宋体" w:hAnsi="宋体" w:eastAsia="宋体" w:cs="Times New Roman"/>
          <w:bCs/>
          <w:sz w:val="24"/>
          <w:highlight w:val="none"/>
        </w:rPr>
        <w:t>新能源车三电（电池、电机、电子系统）质保八年，电池八年内衰减不高于20%</w:t>
      </w:r>
      <w:r>
        <w:rPr>
          <w:rFonts w:hint="eastAsia" w:ascii="宋体" w:hAnsi="宋体" w:eastAsia="宋体" w:cs="Times New Roman"/>
          <w:bCs/>
          <w:sz w:val="24"/>
          <w:highlight w:val="none"/>
        </w:rPr>
        <w:t>；所投车辆三包（修理、更换、退货）有效期限不低于《家用汽车产品修理、更换、退货责任规定》要求。保修期和三包有效期自供应商开具购车发票之日起计算。</w:t>
      </w:r>
    </w:p>
    <w:p w14:paraId="15624E1B">
      <w:pPr>
        <w:spacing w:after="160" w:line="360" w:lineRule="auto"/>
        <w:ind w:firstLine="480" w:firstLineChars="200"/>
        <w:contextualSpacing/>
        <w:rPr>
          <w:rFonts w:ascii="宋体" w:hAnsi="宋体" w:eastAsia="宋体" w:cs="Times New Roman"/>
          <w:bCs/>
          <w:iCs/>
          <w:sz w:val="24"/>
          <w:highlight w:val="none"/>
        </w:rPr>
      </w:pPr>
      <w:r>
        <w:rPr>
          <w:rFonts w:hint="eastAsia" w:ascii="宋体" w:hAnsi="宋体" w:eastAsia="宋体" w:cs="Times New Roman"/>
          <w:bCs/>
          <w:sz w:val="24"/>
          <w:highlight w:val="none"/>
        </w:rPr>
        <w:t>提供所投产品制造商服务机构情况，包括地址、联系方式及技术人员数量等</w:t>
      </w:r>
      <w:r>
        <w:rPr>
          <w:rFonts w:hint="eastAsia" w:ascii="宋体" w:hAnsi="宋体" w:eastAsia="宋体" w:cs="Times New Roman"/>
          <w:bCs/>
          <w:iCs/>
          <w:sz w:val="24"/>
          <w:highlight w:val="none"/>
        </w:rPr>
        <w:t>。</w:t>
      </w:r>
    </w:p>
    <w:p w14:paraId="7B6258CA">
      <w:pPr>
        <w:spacing w:after="160" w:line="360" w:lineRule="auto"/>
        <w:ind w:firstLine="480"/>
        <w:contextualSpacing/>
        <w:rPr>
          <w:rFonts w:ascii="宋体" w:hAnsi="宋体" w:eastAsia="宋体" w:cs="Times New Roman"/>
          <w:sz w:val="24"/>
          <w:highlight w:val="none"/>
        </w:rPr>
      </w:pPr>
      <w:r>
        <w:rPr>
          <w:rFonts w:hint="eastAsia" w:ascii="宋体" w:hAnsi="宋体" w:eastAsia="宋体" w:cs="Times New Roman"/>
          <w:sz w:val="24"/>
          <w:highlight w:val="none"/>
        </w:rPr>
        <w:t>整车质保（包含随车装备）需符合国家“三包”要求，整车质保期为1年（审核依据</w:t>
      </w:r>
      <w:r>
        <w:rPr>
          <w:rFonts w:hint="eastAsia" w:ascii="宋体" w:hAnsi="宋体" w:eastAsia="宋体" w:cs="宋体"/>
          <w:sz w:val="24"/>
          <w:highlight w:val="none"/>
        </w:rPr>
        <w:t>以“采购需求偏离表”的响应情况为准</w:t>
      </w:r>
      <w:r>
        <w:rPr>
          <w:rFonts w:hint="eastAsia" w:ascii="宋体" w:hAnsi="宋体" w:eastAsia="宋体" w:cs="Times New Roman"/>
          <w:sz w:val="24"/>
          <w:highlight w:val="none"/>
        </w:rPr>
        <w:t>）。鼓励投标人在整车质保1年的基础上，进一步延长保修期限（所需费用包含在投标报价中，采购人不另行支付），</w:t>
      </w:r>
      <w:r>
        <w:rPr>
          <w:rFonts w:hint="eastAsia" w:ascii="宋体" w:hAnsi="宋体" w:eastAsia="宋体" w:cs="Times New Roman"/>
          <w:sz w:val="24"/>
          <w:highlight w:val="none"/>
        </w:rPr>
        <w:t>可提供所投车辆售后服务承诺函（须加盖投标人公章）作为证明材料</w:t>
      </w:r>
      <w:r>
        <w:rPr>
          <w:rFonts w:hint="eastAsia" w:ascii="宋体" w:hAnsi="宋体" w:eastAsia="宋体" w:cs="Times New Roman"/>
          <w:sz w:val="24"/>
          <w:highlight w:val="none"/>
        </w:rPr>
        <w:t>。</w:t>
      </w:r>
    </w:p>
    <w:p w14:paraId="7AA2D28E">
      <w:pPr>
        <w:spacing w:after="160" w:line="360" w:lineRule="auto"/>
        <w:ind w:firstLine="480"/>
        <w:contextualSpacing/>
        <w:rPr>
          <w:rFonts w:ascii="宋体" w:hAnsi="宋体" w:eastAsia="宋体" w:cs="Times New Roman"/>
          <w:sz w:val="24"/>
          <w:highlight w:val="none"/>
        </w:rPr>
      </w:pPr>
      <w:r>
        <w:rPr>
          <w:rFonts w:hint="eastAsia" w:ascii="宋体" w:hAnsi="宋体" w:eastAsia="宋体" w:cs="Times New Roman"/>
          <w:sz w:val="24"/>
          <w:highlight w:val="none"/>
        </w:rPr>
        <w:t>质保期间维修时使用原厂机动车配件，保修期和三包有效期自供应商开具发票之日计算。</w:t>
      </w:r>
    </w:p>
    <w:p w14:paraId="1304C249">
      <w:pPr>
        <w:spacing w:line="360" w:lineRule="auto"/>
        <w:ind w:firstLine="480" w:firstLineChars="200"/>
        <w:contextualSpacing/>
        <w:rPr>
          <w:rFonts w:ascii="宋体" w:hAnsi="宋体" w:eastAsia="宋体" w:cs="Times New Roman"/>
          <w:bCs/>
          <w:sz w:val="24"/>
          <w:highlight w:val="none"/>
        </w:rPr>
      </w:pPr>
    </w:p>
    <w:p w14:paraId="74C0AF7C">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（2）投标企业应针对车辆使用用途、提供车辆保养服务及全面详细售后个性化服务方案。</w:t>
      </w:r>
    </w:p>
    <w:p w14:paraId="22148284">
      <w:pPr>
        <w:spacing w:line="360" w:lineRule="auto"/>
        <w:contextualSpacing/>
        <w:rPr>
          <w:rFonts w:ascii="宋体" w:hAnsi="宋体" w:eastAsia="宋体" w:cs="Times New Roman"/>
          <w:b/>
          <w:i/>
          <w:sz w:val="24"/>
          <w:highlight w:val="none"/>
        </w:rPr>
      </w:pPr>
    </w:p>
    <w:p w14:paraId="545F9D22">
      <w:pPr>
        <w:spacing w:line="360" w:lineRule="auto"/>
        <w:contextualSpacing/>
        <w:rPr>
          <w:rFonts w:ascii="宋体" w:hAnsi="宋体" w:eastAsia="宋体" w:cs="Times New Roman"/>
          <w:b/>
          <w:sz w:val="24"/>
          <w:highlight w:val="none"/>
        </w:rPr>
      </w:pPr>
      <w:r>
        <w:rPr>
          <w:rFonts w:hint="eastAsia" w:ascii="宋体" w:hAnsi="宋体" w:eastAsia="宋体" w:cs="Times New Roman"/>
          <w:b/>
          <w:sz w:val="24"/>
          <w:highlight w:val="none"/>
        </w:rPr>
        <w:t>三、</w:t>
      </w:r>
      <w:r>
        <w:rPr>
          <w:rFonts w:ascii="宋体" w:hAnsi="宋体" w:eastAsia="宋体" w:cs="Times New Roman"/>
          <w:b/>
          <w:sz w:val="24"/>
          <w:highlight w:val="none"/>
        </w:rPr>
        <w:t>技术要求</w:t>
      </w:r>
    </w:p>
    <w:p w14:paraId="4DD1C86C">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1. 基本要求</w:t>
      </w:r>
    </w:p>
    <w:p w14:paraId="0079884D">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1.1 采购标的需实现的功能或者目标</w:t>
      </w:r>
    </w:p>
    <w:p w14:paraId="1ACA8BD1">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能够满足车辆驾驶训练需求。</w:t>
      </w:r>
    </w:p>
    <w:p w14:paraId="0F821368">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1.2 需执行的国家相关标准、行业标准、地方标准或者其他标准、规范</w:t>
      </w:r>
      <w:r>
        <w:rPr>
          <w:rFonts w:hint="eastAsia" w:ascii="宋体" w:hAnsi="宋体" w:eastAsia="宋体" w:cs="Times New Roman"/>
          <w:bCs/>
          <w:sz w:val="24"/>
          <w:highlight w:val="none"/>
        </w:rPr>
        <w:t>车辆符合国家相关要求。</w:t>
      </w:r>
    </w:p>
    <w:p w14:paraId="174E3221">
      <w:pPr>
        <w:spacing w:after="160" w:line="360" w:lineRule="auto"/>
        <w:ind w:firstLine="480" w:firstLineChars="200"/>
        <w:contextualSpacing/>
        <w:rPr>
          <w:rFonts w:ascii="宋体" w:hAnsi="宋体" w:eastAsia="宋体" w:cs="Times New Roman"/>
          <w:sz w:val="24"/>
          <w:highlight w:val="none"/>
        </w:rPr>
      </w:pPr>
      <w:r>
        <w:rPr>
          <w:rFonts w:hint="eastAsia" w:ascii="宋体" w:hAnsi="宋体" w:eastAsia="宋体" w:cs="Times New Roman"/>
          <w:sz w:val="24"/>
          <w:highlight w:val="none"/>
        </w:rPr>
        <w:t>.满足机动车生产的相关</w:t>
      </w:r>
      <w:r>
        <w:rPr>
          <w:rFonts w:ascii="宋体" w:hAnsi="宋体" w:eastAsia="宋体" w:cs="Times New Roman"/>
          <w:sz w:val="24"/>
          <w:highlight w:val="none"/>
        </w:rPr>
        <w:t>国家相关标准、行业标准、地方标准或者其他标准、规</w:t>
      </w:r>
      <w:r>
        <w:rPr>
          <w:rFonts w:hint="eastAsia" w:ascii="宋体" w:hAnsi="宋体" w:eastAsia="宋体" w:cs="Times New Roman"/>
          <w:sz w:val="24"/>
          <w:highlight w:val="none"/>
        </w:rPr>
        <w:t>。</w:t>
      </w:r>
    </w:p>
    <w:p w14:paraId="1585F60C">
      <w:pPr>
        <w:spacing w:after="160" w:line="360" w:lineRule="auto"/>
        <w:ind w:firstLine="482" w:firstLineChars="200"/>
        <w:contextualSpacing/>
        <w:rPr>
          <w:rFonts w:ascii="宋体" w:hAnsi="宋体" w:eastAsia="宋体" w:cs="Times New Roman"/>
          <w:sz w:val="24"/>
          <w:highlight w:val="none"/>
        </w:rPr>
      </w:pPr>
      <w:r>
        <w:rPr>
          <w:rFonts w:hint="eastAsia" w:ascii="宋体" w:hAnsi="宋体" w:eastAsia="宋体" w:cs="Times New Roman"/>
          <w:b/>
          <w:bCs/>
          <w:sz w:val="24"/>
          <w:highlight w:val="none"/>
        </w:rPr>
        <w:t>★投标车型必须为列入《道路机动车辆生产企业及产品公告》目录中的产品</w:t>
      </w:r>
      <w:r>
        <w:rPr>
          <w:rFonts w:hint="eastAsia" w:ascii="宋体" w:hAnsi="宋体" w:eastAsia="宋体" w:cs="Times New Roman"/>
          <w:sz w:val="24"/>
          <w:highlight w:val="none"/>
        </w:rPr>
        <w:t>。投标人须提供道路机动车辆生产企业及产品信息查询系统查询的页面截图并加盖投标人公章。</w:t>
      </w:r>
    </w:p>
    <w:p w14:paraId="78F11D6B">
      <w:pPr>
        <w:spacing w:after="160" w:line="360" w:lineRule="auto"/>
        <w:ind w:firstLine="480" w:firstLineChars="200"/>
        <w:contextualSpacing/>
        <w:rPr>
          <w:rFonts w:ascii="宋体" w:hAnsi="宋体" w:eastAsia="宋体" w:cs="Times New Roman"/>
          <w:sz w:val="24"/>
          <w:highlight w:val="none"/>
        </w:rPr>
      </w:pPr>
      <w:r>
        <w:rPr>
          <w:rFonts w:hint="eastAsia" w:ascii="宋体" w:hAnsi="宋体" w:eastAsia="宋体" w:cs="Times New Roman"/>
          <w:sz w:val="24"/>
          <w:highlight w:val="none"/>
        </w:rPr>
        <w:t>投标文件中提供所投产品原材料采购、设计、加工制作、存储、流通、回收等产品全生命周期各环节、详细阐述该产品节能、环保及绿色供应链管理情况，提供相关文件，形式包括证书、图示、文字说明等。</w:t>
      </w:r>
    </w:p>
    <w:p w14:paraId="615D28B3">
      <w:pPr>
        <w:spacing w:line="360" w:lineRule="auto"/>
        <w:ind w:firstLine="480" w:firstLineChars="200"/>
        <w:contextualSpacing/>
        <w:rPr>
          <w:rFonts w:ascii="宋体" w:hAnsi="宋体" w:eastAsia="宋体" w:cs="Times New Roman"/>
          <w:bCs/>
          <w:sz w:val="24"/>
          <w:highlight w:val="none"/>
        </w:rPr>
      </w:pPr>
    </w:p>
    <w:p w14:paraId="6E7CE72F">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2. 服务内容及要求/货物技术要求</w:t>
      </w:r>
    </w:p>
    <w:p w14:paraId="16785298">
      <w:pPr>
        <w:spacing w:line="360" w:lineRule="auto"/>
        <w:ind w:firstLine="480" w:firstLineChars="200"/>
        <w:contextualSpacing/>
        <w:rPr>
          <w:rFonts w:ascii="宋体" w:hAnsi="宋体" w:eastAsia="宋体" w:cs="Times New Roman"/>
          <w:bCs/>
          <w:sz w:val="24"/>
          <w:highlight w:val="none"/>
        </w:rPr>
      </w:pPr>
      <w:r>
        <w:rPr>
          <w:rFonts w:ascii="宋体" w:hAnsi="宋体" w:eastAsia="宋体" w:cs="Times New Roman"/>
          <w:bCs/>
          <w:sz w:val="24"/>
          <w:highlight w:val="none"/>
        </w:rPr>
        <w:t>2.1采购标的需满足的性能、材料、结构、外观、质量、安全、技术规格、物理特性等要求；</w:t>
      </w:r>
    </w:p>
    <w:p w14:paraId="7700FF6D">
      <w:pPr>
        <w:spacing w:after="160" w:line="360" w:lineRule="auto"/>
        <w:ind w:firstLine="480" w:firstLineChars="200"/>
        <w:contextualSpacing/>
        <w:rPr>
          <w:rFonts w:ascii="宋体" w:hAnsi="宋体" w:eastAsia="宋体" w:cs="Times New Roman"/>
          <w:sz w:val="24"/>
          <w:highlight w:val="none"/>
        </w:rPr>
      </w:pPr>
      <w:r>
        <w:rPr>
          <w:rFonts w:hint="eastAsia" w:ascii="宋体" w:hAnsi="宋体" w:eastAsia="宋体" w:cs="Times New Roman"/>
          <w:sz w:val="24"/>
          <w:highlight w:val="none"/>
        </w:rPr>
        <w:t>特别说明：</w:t>
      </w:r>
    </w:p>
    <w:p w14:paraId="76763EBF">
      <w:pPr>
        <w:spacing w:after="160" w:line="360" w:lineRule="auto"/>
        <w:ind w:firstLine="480" w:firstLineChars="200"/>
        <w:contextualSpacing/>
        <w:rPr>
          <w:rFonts w:ascii="宋体" w:hAnsi="宋体" w:eastAsia="宋体" w:cs="Times New Roman"/>
          <w:sz w:val="24"/>
          <w:highlight w:val="none"/>
        </w:rPr>
      </w:pPr>
      <w:r>
        <w:rPr>
          <w:rFonts w:hint="eastAsia" w:ascii="宋体" w:hAnsi="宋体" w:eastAsia="宋体" w:cs="Times New Roman"/>
          <w:sz w:val="24"/>
          <w:highlight w:val="none"/>
        </w:rPr>
        <w:t>1、标记了“★”的技术参数属于实质性参数，</w:t>
      </w:r>
      <w:r>
        <w:rPr>
          <w:rFonts w:hint="eastAsia" w:ascii="宋体" w:hAnsi="宋体" w:eastAsia="宋体" w:cs="Times New Roman"/>
          <w:b/>
          <w:bCs/>
          <w:sz w:val="24"/>
          <w:highlight w:val="none"/>
        </w:rPr>
        <w:t>如未响应或响应为负偏离的，按</w:t>
      </w:r>
      <w:r>
        <w:rPr>
          <w:rFonts w:hint="eastAsia" w:ascii="宋体" w:hAnsi="宋体" w:eastAsia="宋体" w:cs="Times New Roman"/>
          <w:b/>
          <w:bCs/>
          <w:sz w:val="24"/>
          <w:highlight w:val="none"/>
          <w:u w:val="single"/>
        </w:rPr>
        <w:t>无效投标</w:t>
      </w:r>
      <w:r>
        <w:rPr>
          <w:rFonts w:hint="eastAsia" w:ascii="宋体" w:hAnsi="宋体" w:eastAsia="宋体" w:cs="Times New Roman"/>
          <w:b/>
          <w:bCs/>
          <w:sz w:val="24"/>
          <w:highlight w:val="none"/>
        </w:rPr>
        <w:t>处理。</w:t>
      </w:r>
      <w:r>
        <w:rPr>
          <w:rFonts w:hint="eastAsia" w:ascii="宋体" w:hAnsi="宋体" w:eastAsia="宋体" w:cs="Times New Roman"/>
          <w:sz w:val="24"/>
          <w:highlight w:val="none"/>
        </w:rPr>
        <w:t>“★”技术参数响应情况的审核依据：</w:t>
      </w:r>
      <w:r>
        <w:rPr>
          <w:rFonts w:hint="eastAsia" w:ascii="宋体" w:hAnsi="宋体" w:eastAsia="宋体" w:cs="宋体"/>
          <w:color w:val="000000"/>
          <w:sz w:val="24"/>
          <w:highlight w:val="none"/>
        </w:rPr>
        <w:t>供应商在《投标文件</w:t>
      </w:r>
      <w:r>
        <w:rPr>
          <w:rFonts w:hint="eastAsia" w:ascii="宋体" w:hAnsi="宋体" w:eastAsia="宋体" w:cs="宋体"/>
          <w:sz w:val="24"/>
          <w:highlight w:val="none"/>
        </w:rPr>
        <w:t>（商务技术文件）</w:t>
      </w:r>
      <w:r>
        <w:rPr>
          <w:rFonts w:hint="eastAsia" w:ascii="宋体" w:hAnsi="宋体" w:eastAsia="宋体" w:cs="宋体"/>
          <w:color w:val="000000"/>
          <w:sz w:val="24"/>
          <w:highlight w:val="none"/>
        </w:rPr>
        <w:t>》</w:t>
      </w:r>
      <w:r>
        <w:rPr>
          <w:rFonts w:hint="eastAsia" w:ascii="宋体" w:hAnsi="宋体" w:eastAsia="宋体" w:cs="宋体"/>
          <w:sz w:val="24"/>
          <w:highlight w:val="none"/>
        </w:rPr>
        <w:t>中提供</w:t>
      </w:r>
      <w:r>
        <w:rPr>
          <w:rFonts w:hint="eastAsia" w:ascii="宋体" w:hAnsi="宋体" w:eastAsia="宋体" w:cs="Times New Roman"/>
          <w:sz w:val="24"/>
          <w:highlight w:val="none"/>
        </w:rPr>
        <w:t>与所投车辆型号一致的型式试验报告或检测报告电子件，或国家工信部发布的《道路机动车辆生产企业及产品公告》中所投车辆的公告截图，或车辆官网截图，全部证明资料均须加盖供应商公章。</w:t>
      </w:r>
    </w:p>
    <w:p w14:paraId="1AA28BBD">
      <w:pPr>
        <w:spacing w:before="120" w:after="160" w:line="360" w:lineRule="auto"/>
        <w:ind w:firstLine="480" w:firstLineChars="200"/>
        <w:rPr>
          <w:rFonts w:ascii="宋体" w:hAnsi="宋体" w:eastAsia="宋体" w:cs="宋体"/>
          <w:color w:val="000000"/>
          <w:sz w:val="24"/>
          <w:highlight w:val="none"/>
        </w:rPr>
      </w:pPr>
      <w:r>
        <w:rPr>
          <w:rFonts w:hint="eastAsia" w:ascii="宋体" w:hAnsi="宋体" w:eastAsia="宋体" w:cs="宋体"/>
          <w:sz w:val="24"/>
          <w:highlight w:val="none"/>
        </w:rPr>
        <w:t>2、一般技术指标（即未做“★”标记的指标），是指满足本次采购基本功能的技术指标，如供应商所投产品的一般技术指标出现一项或多项负偏离的，将影响其评审分值,但不作为无效投标处理。一般技术指标</w:t>
      </w:r>
      <w:r>
        <w:rPr>
          <w:rFonts w:hint="eastAsia" w:ascii="宋体" w:hAnsi="宋体" w:eastAsia="宋体" w:cs="宋体"/>
          <w:color w:val="000000"/>
          <w:sz w:val="24"/>
          <w:highlight w:val="none"/>
        </w:rPr>
        <w:t>响应情况的审核依据：供应商在《投标文件</w:t>
      </w:r>
      <w:r>
        <w:rPr>
          <w:rFonts w:hint="eastAsia" w:ascii="宋体" w:hAnsi="宋体" w:eastAsia="宋体" w:cs="宋体"/>
          <w:sz w:val="24"/>
          <w:highlight w:val="none"/>
        </w:rPr>
        <w:t>（商务技术文件）</w:t>
      </w:r>
      <w:r>
        <w:rPr>
          <w:rFonts w:hint="eastAsia" w:ascii="宋体" w:hAnsi="宋体" w:eastAsia="宋体" w:cs="宋体"/>
          <w:color w:val="000000"/>
          <w:sz w:val="24"/>
          <w:highlight w:val="none"/>
        </w:rPr>
        <w:t>》</w:t>
      </w:r>
      <w:r>
        <w:rPr>
          <w:rFonts w:hint="eastAsia" w:ascii="宋体" w:hAnsi="宋体" w:eastAsia="宋体" w:cs="宋体"/>
          <w:sz w:val="24"/>
          <w:highlight w:val="none"/>
        </w:rPr>
        <w:t>中提供</w:t>
      </w:r>
      <w:r>
        <w:rPr>
          <w:rFonts w:hint="eastAsia" w:ascii="宋体" w:hAnsi="宋体" w:eastAsia="宋体" w:cs="Times New Roman"/>
          <w:sz w:val="24"/>
          <w:highlight w:val="none"/>
        </w:rPr>
        <w:t>与所投车辆型号一致的型式试验报告或检测报告电子件，或国家工信部发布的《道路机动车辆生产企业及产品公告》中所投车辆的公告截图，或车辆官网截图，全部证明资料均须加盖</w:t>
      </w:r>
      <w:r>
        <w:rPr>
          <w:rFonts w:hint="eastAsia" w:ascii="Times New Roman" w:hAnsi="Times New Roman" w:eastAsia="宋体" w:cs="Times New Roman"/>
          <w:sz w:val="24"/>
          <w:highlight w:val="none"/>
        </w:rPr>
        <w:t>投标人</w:t>
      </w:r>
      <w:r>
        <w:rPr>
          <w:rFonts w:hint="eastAsia" w:ascii="宋体" w:hAnsi="宋体" w:eastAsia="宋体" w:cs="Times New Roman"/>
          <w:sz w:val="24"/>
          <w:highlight w:val="none"/>
        </w:rPr>
        <w:t>公章。</w:t>
      </w:r>
    </w:p>
    <w:p w14:paraId="68F48656">
      <w:pPr>
        <w:spacing w:line="360" w:lineRule="auto"/>
        <w:ind w:firstLine="480" w:firstLineChars="200"/>
        <w:contextualSpacing/>
        <w:rPr>
          <w:rFonts w:ascii="宋体" w:hAnsi="宋体" w:eastAsia="宋体" w:cs="Times New Roman"/>
          <w:bCs/>
          <w:sz w:val="24"/>
          <w:highlight w:val="none"/>
        </w:rPr>
      </w:pPr>
    </w:p>
    <w:p w14:paraId="740C413D">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★序号1  购置3辆新能源越野车，车身颜色为黑色。</w:t>
      </w:r>
    </w:p>
    <w:p w14:paraId="74A661E8">
      <w:pPr>
        <w:widowControl/>
        <w:spacing w:line="360" w:lineRule="auto"/>
        <w:contextualSpacing/>
        <w:jc w:val="center"/>
        <w:rPr>
          <w:rFonts w:ascii="宋体" w:hAnsi="宋体" w:eastAsia="宋体" w:cs="Times New Roman"/>
          <w:sz w:val="24"/>
          <w:highlight w:val="none"/>
        </w:rPr>
      </w:pPr>
      <w:r>
        <w:rPr>
          <w:rFonts w:hint="eastAsia" w:ascii="宋体" w:hAnsi="宋体" w:eastAsia="宋体" w:cs="Times New Roman"/>
          <w:sz w:val="24"/>
          <w:highlight w:val="none"/>
        </w:rPr>
        <w:t>技术规格及要求</w:t>
      </w:r>
    </w:p>
    <w:tbl>
      <w:tblPr>
        <w:tblStyle w:val="2"/>
        <w:tblW w:w="7935" w:type="dxa"/>
        <w:tblInd w:w="93" w:type="dxa"/>
        <w:tblLayout w:type="fixed"/>
        <w:tblCellMar>
          <w:top w:w="0" w:type="dxa"/>
          <w:left w:w="108" w:type="dxa"/>
          <w:bottom w:w="0" w:type="dxa"/>
          <w:right w:w="108" w:type="dxa"/>
        </w:tblCellMar>
      </w:tblPr>
      <w:tblGrid>
        <w:gridCol w:w="1740"/>
        <w:gridCol w:w="3030"/>
        <w:gridCol w:w="3165"/>
      </w:tblGrid>
      <w:tr w14:paraId="0CE9359E">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C1BAF">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序号</w:t>
            </w:r>
          </w:p>
        </w:tc>
        <w:tc>
          <w:tcPr>
            <w:tcW w:w="30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6CF6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名称</w:t>
            </w:r>
          </w:p>
        </w:tc>
        <w:tc>
          <w:tcPr>
            <w:tcW w:w="3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D852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技术参数</w:t>
            </w:r>
          </w:p>
        </w:tc>
      </w:tr>
      <w:tr w14:paraId="57533647">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0DD5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837B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★车型</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DEEF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越野乘用车</w:t>
            </w:r>
          </w:p>
        </w:tc>
      </w:tr>
      <w:tr w14:paraId="7434C241">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1DF1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5FE5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★能源类型</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FD8B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插电式混合动力/增程式</w:t>
            </w:r>
          </w:p>
        </w:tc>
      </w:tr>
      <w:tr w14:paraId="3FA29039">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AD17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3</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D9C6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★驱动</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EAF6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四驱</w:t>
            </w:r>
          </w:p>
        </w:tc>
      </w:tr>
      <w:tr w14:paraId="4D0C1CE2">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E16E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4</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5819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★助力类型</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6B7D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电动助力</w:t>
            </w:r>
          </w:p>
        </w:tc>
      </w:tr>
      <w:tr w14:paraId="0A390657">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E299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5</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261D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★长（mm）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D455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≥4850</w:t>
            </w:r>
          </w:p>
        </w:tc>
      </w:tr>
      <w:tr w14:paraId="272F8E72">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FEBE1">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6</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1925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★宽（mm）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4C64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≥1950</w:t>
            </w:r>
          </w:p>
        </w:tc>
      </w:tr>
      <w:tr w14:paraId="081B8236">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7114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7</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CC95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★高（mm）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2F96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≥1900</w:t>
            </w:r>
          </w:p>
        </w:tc>
      </w:tr>
      <w:tr w14:paraId="11C7EC25">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C366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8</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AC92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★车体结构</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911F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非承载式</w:t>
            </w:r>
          </w:p>
        </w:tc>
      </w:tr>
      <w:tr w14:paraId="5B25FBF2">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7E0E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9</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4B4F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★环保标准</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77A3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国VI</w:t>
            </w:r>
          </w:p>
        </w:tc>
      </w:tr>
      <w:tr w14:paraId="1D9D0739">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7F4D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10</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42CE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★座位数</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5123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5座</w:t>
            </w:r>
          </w:p>
        </w:tc>
      </w:tr>
      <w:tr w14:paraId="73970FDE">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AB1E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E3E0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#排 量（mL）</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8D081">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≥1998</w:t>
            </w:r>
          </w:p>
        </w:tc>
      </w:tr>
      <w:tr w14:paraId="54DFD923">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0A28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B3FA1">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#发动机最大功率（kW）</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B9A5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≥150</w:t>
            </w:r>
          </w:p>
        </w:tc>
      </w:tr>
      <w:tr w14:paraId="188ECD1B">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8BF2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13</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0BAAF">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#轴距（mm）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9B17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≥2800</w:t>
            </w:r>
          </w:p>
        </w:tc>
      </w:tr>
      <w:tr w14:paraId="1FB3778D">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C21C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14</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3F44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#满载最小离地间隙（mm）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56C9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≥225</w:t>
            </w:r>
          </w:p>
        </w:tc>
      </w:tr>
      <w:tr w14:paraId="235C8C99">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1D5C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15</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E85F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#最大涉水深度（mm）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7D83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≥800</w:t>
            </w:r>
          </w:p>
        </w:tc>
      </w:tr>
      <w:tr w14:paraId="42E9931C">
        <w:tblPrEx>
          <w:tblCellMar>
            <w:top w:w="0" w:type="dxa"/>
            <w:left w:w="108" w:type="dxa"/>
            <w:bottom w:w="0" w:type="dxa"/>
            <w:right w:w="108" w:type="dxa"/>
          </w:tblCellMar>
        </w:tblPrEx>
        <w:trPr>
          <w:trHeight w:val="577"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1E0A1">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16</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7C12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#轮毂尺寸</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7BD1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≥17英寸</w:t>
            </w:r>
          </w:p>
        </w:tc>
      </w:tr>
      <w:tr w14:paraId="2E9A3AC1">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E535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17</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8C26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#中控屏幕尺寸</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B6A2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≥15英寸</w:t>
            </w:r>
          </w:p>
        </w:tc>
      </w:tr>
      <w:tr w14:paraId="4623A6CC">
        <w:tblPrEx>
          <w:tblCellMar>
            <w:top w:w="0" w:type="dxa"/>
            <w:left w:w="108" w:type="dxa"/>
            <w:bottom w:w="0" w:type="dxa"/>
            <w:right w:w="108" w:type="dxa"/>
          </w:tblCellMar>
        </w:tblPrEx>
        <w:trPr>
          <w:trHeight w:val="285"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9482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18</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7608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#全液晶仪表盘液晶尺寸</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5968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≥12英寸</w:t>
            </w:r>
          </w:p>
        </w:tc>
      </w:tr>
      <w:tr w14:paraId="41DD135F">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7F97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19</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9579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#接近角（°）</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6E3C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≥30</w:t>
            </w:r>
          </w:p>
        </w:tc>
      </w:tr>
      <w:tr w14:paraId="17A4D93C">
        <w:tblPrEx>
          <w:tblCellMar>
            <w:top w:w="0" w:type="dxa"/>
            <w:left w:w="108" w:type="dxa"/>
            <w:bottom w:w="0" w:type="dxa"/>
            <w:right w:w="108" w:type="dxa"/>
          </w:tblCellMar>
        </w:tblPrEx>
        <w:trPr>
          <w:trHeight w:val="615"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002E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20</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428F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#离去角（°）</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0FE8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≥30</w:t>
            </w:r>
          </w:p>
        </w:tc>
      </w:tr>
      <w:tr w14:paraId="3AB04165">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0C05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3B94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#驾驶辅助影像</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7A2DF">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有360度全景影像</w:t>
            </w:r>
          </w:p>
        </w:tc>
      </w:tr>
      <w:tr w14:paraId="1909E0A1">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B086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3B54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#巡航系统</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BF5B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有自适应巡航</w:t>
            </w:r>
          </w:p>
        </w:tc>
      </w:tr>
    </w:tbl>
    <w:p w14:paraId="0729E9CA">
      <w:pPr>
        <w:widowControl/>
        <w:spacing w:line="360" w:lineRule="auto"/>
        <w:contextualSpacing/>
        <w:rPr>
          <w:rFonts w:ascii="宋体" w:hAnsi="宋体"/>
          <w:sz w:val="24"/>
          <w:highlight w:val="none"/>
        </w:rPr>
        <w:sectPr>
          <w:pgSz w:w="11906" w:h="16838"/>
          <w:pgMar w:top="1440" w:right="1800" w:bottom="1440" w:left="1800" w:header="851" w:footer="992" w:gutter="0"/>
          <w:cols w:space="425" w:num="1"/>
          <w:docGrid w:type="lines" w:linePitch="312" w:charSpace="0"/>
        </w:sectPr>
      </w:pPr>
    </w:p>
    <w:p w14:paraId="68DA28C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★序号2  购置6辆越野车，车身颜色为黑色。</w:t>
      </w:r>
    </w:p>
    <w:p w14:paraId="0AD70101">
      <w:pPr>
        <w:widowControl/>
        <w:spacing w:line="360" w:lineRule="auto"/>
        <w:contextualSpacing/>
        <w:jc w:val="center"/>
        <w:rPr>
          <w:rFonts w:ascii="宋体" w:hAnsi="宋体" w:eastAsia="宋体" w:cs="Times New Roman"/>
          <w:sz w:val="24"/>
          <w:highlight w:val="none"/>
        </w:rPr>
      </w:pPr>
      <w:r>
        <w:rPr>
          <w:rFonts w:hint="eastAsia" w:ascii="宋体" w:hAnsi="宋体" w:eastAsia="宋体" w:cs="Times New Roman"/>
          <w:sz w:val="24"/>
          <w:highlight w:val="none"/>
        </w:rPr>
        <w:t>技术规格及要求</w:t>
      </w:r>
    </w:p>
    <w:tbl>
      <w:tblPr>
        <w:tblStyle w:val="2"/>
        <w:tblW w:w="7935" w:type="dxa"/>
        <w:tblInd w:w="93" w:type="dxa"/>
        <w:tblLayout w:type="fixed"/>
        <w:tblCellMar>
          <w:top w:w="0" w:type="dxa"/>
          <w:left w:w="108" w:type="dxa"/>
          <w:bottom w:w="0" w:type="dxa"/>
          <w:right w:w="108" w:type="dxa"/>
        </w:tblCellMar>
      </w:tblPr>
      <w:tblGrid>
        <w:gridCol w:w="1740"/>
        <w:gridCol w:w="3030"/>
        <w:gridCol w:w="3165"/>
      </w:tblGrid>
      <w:tr w14:paraId="4FD32BC2">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3DC3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序号</w:t>
            </w:r>
          </w:p>
        </w:tc>
        <w:tc>
          <w:tcPr>
            <w:tcW w:w="30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ECCA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名称</w:t>
            </w:r>
          </w:p>
        </w:tc>
        <w:tc>
          <w:tcPr>
            <w:tcW w:w="3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88DD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技术参数</w:t>
            </w:r>
          </w:p>
        </w:tc>
      </w:tr>
      <w:tr w14:paraId="7A20B753">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8CE5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12A5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★车型</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874E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多用途乘用车/越野乘用车</w:t>
            </w:r>
          </w:p>
        </w:tc>
      </w:tr>
      <w:tr w14:paraId="5D2BC938">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ECA7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E5FD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★能源类型</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CBC0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汽油</w:t>
            </w:r>
          </w:p>
        </w:tc>
      </w:tr>
      <w:tr w14:paraId="02FBB178">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1B24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3</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88EA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★驱动</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8C20F">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四驱</w:t>
            </w:r>
          </w:p>
        </w:tc>
      </w:tr>
      <w:tr w14:paraId="4DCD769A">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58A7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4</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9278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★助力类型</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9439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电动助力</w:t>
            </w:r>
          </w:p>
        </w:tc>
      </w:tr>
      <w:tr w14:paraId="748500B6">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0136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5</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AC6E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★长（mm）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6E4E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≥4750</w:t>
            </w:r>
          </w:p>
        </w:tc>
      </w:tr>
      <w:tr w14:paraId="46F0601D">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42D2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6</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FEBA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★宽（mm）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E854F">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≥1850</w:t>
            </w:r>
          </w:p>
        </w:tc>
      </w:tr>
      <w:tr w14:paraId="37F0584E">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074E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7</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87B3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★高（mm）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026D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≥1850</w:t>
            </w:r>
          </w:p>
        </w:tc>
      </w:tr>
      <w:tr w14:paraId="14A794D1">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4840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8</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2823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★车体结构</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B7CD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非承载式</w:t>
            </w:r>
          </w:p>
        </w:tc>
      </w:tr>
      <w:tr w14:paraId="7EE5671D">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E3CC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9</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16EE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★环保标准</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34D7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国VI</w:t>
            </w:r>
          </w:p>
        </w:tc>
      </w:tr>
      <w:tr w14:paraId="5C97BE99">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E94F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10</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B3D4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★座位数</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09AE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5座</w:t>
            </w:r>
          </w:p>
        </w:tc>
      </w:tr>
      <w:tr w14:paraId="62836918">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73BE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5BDE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#排 量（mL）</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CC46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≥1950</w:t>
            </w:r>
          </w:p>
        </w:tc>
      </w:tr>
      <w:tr w14:paraId="6E5D8FCC">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64FC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F6AE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#发动机最大功率（kW）</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E45F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≥150</w:t>
            </w:r>
          </w:p>
        </w:tc>
      </w:tr>
      <w:tr w14:paraId="42813F03">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93BD9">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13</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2280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#轴距（mm）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06E0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≥2750</w:t>
            </w:r>
          </w:p>
        </w:tc>
      </w:tr>
      <w:tr w14:paraId="7C1988B8">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7DC43">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14</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448F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#满载最小离地间隙（mm）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D3BCB">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≥225</w:t>
            </w:r>
          </w:p>
        </w:tc>
      </w:tr>
      <w:tr w14:paraId="4C364014">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2657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15</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6BDF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 WLTC综合油耗(L/100km)</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29CC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≤10</w:t>
            </w:r>
          </w:p>
        </w:tc>
      </w:tr>
      <w:tr w14:paraId="692D65FA">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7042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16</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279DD">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#轮毂尺寸</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20AA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≥17英寸</w:t>
            </w:r>
          </w:p>
        </w:tc>
      </w:tr>
      <w:tr w14:paraId="50C370DE">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2BE8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17</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3C86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#中控屏幕尺寸</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EF2A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≥14英寸</w:t>
            </w:r>
          </w:p>
        </w:tc>
      </w:tr>
      <w:tr w14:paraId="6A4750DA">
        <w:tblPrEx>
          <w:tblCellMar>
            <w:top w:w="0" w:type="dxa"/>
            <w:left w:w="108" w:type="dxa"/>
            <w:bottom w:w="0" w:type="dxa"/>
            <w:right w:w="108" w:type="dxa"/>
          </w:tblCellMar>
        </w:tblPrEx>
        <w:trPr>
          <w:trHeight w:val="285"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4682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18</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1FEFE">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#全液晶仪表盘液晶尺寸</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060F6">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≥12英寸</w:t>
            </w:r>
          </w:p>
        </w:tc>
      </w:tr>
      <w:tr w14:paraId="7A741CD0">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8B7F4">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19</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693DA">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#接近角（°）</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00EA8">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≥30</w:t>
            </w:r>
          </w:p>
        </w:tc>
      </w:tr>
      <w:tr w14:paraId="1717F762">
        <w:tblPrEx>
          <w:tblCellMar>
            <w:top w:w="0" w:type="dxa"/>
            <w:left w:w="108" w:type="dxa"/>
            <w:bottom w:w="0" w:type="dxa"/>
            <w:right w:w="108" w:type="dxa"/>
          </w:tblCellMar>
        </w:tblPrEx>
        <w:trPr>
          <w:trHeight w:val="447"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665C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20</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4056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#离去角（°）</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5C32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≥30</w:t>
            </w:r>
          </w:p>
        </w:tc>
      </w:tr>
      <w:tr w14:paraId="706C986F">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A86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21</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F3FB2">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#驾驶辅助影像</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5F7D5">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有360度全景影像</w:t>
            </w:r>
          </w:p>
        </w:tc>
      </w:tr>
      <w:tr w14:paraId="4B941A2F">
        <w:tblPrEx>
          <w:tblCellMar>
            <w:top w:w="0" w:type="dxa"/>
            <w:left w:w="108" w:type="dxa"/>
            <w:bottom w:w="0" w:type="dxa"/>
            <w:right w:w="108" w:type="dxa"/>
          </w:tblCellMar>
        </w:tblPrEx>
        <w:trPr>
          <w:trHeight w:val="42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546EC">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22</w:t>
            </w:r>
          </w:p>
        </w:tc>
        <w:tc>
          <w:tcPr>
            <w:tcW w:w="3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865E0">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#巡航系统</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B2107">
            <w:pPr>
              <w:widowControl/>
              <w:spacing w:line="360" w:lineRule="auto"/>
              <w:contextualSpacing/>
              <w:rPr>
                <w:rFonts w:ascii="宋体" w:hAnsi="宋体" w:eastAsia="宋体" w:cs="Times New Roman"/>
                <w:sz w:val="24"/>
                <w:highlight w:val="none"/>
              </w:rPr>
            </w:pPr>
            <w:r>
              <w:rPr>
                <w:rFonts w:hint="eastAsia" w:ascii="宋体" w:hAnsi="宋体" w:eastAsia="宋体" w:cs="Times New Roman"/>
                <w:sz w:val="24"/>
                <w:highlight w:val="none"/>
              </w:rPr>
              <w:t>有自适应巡航</w:t>
            </w:r>
          </w:p>
        </w:tc>
      </w:tr>
    </w:tbl>
    <w:p w14:paraId="11A5E1A4">
      <w:pPr>
        <w:widowControl/>
        <w:spacing w:line="360" w:lineRule="auto"/>
        <w:contextualSpacing/>
        <w:rPr>
          <w:rFonts w:ascii="宋体" w:hAnsi="宋体" w:eastAsia="宋体" w:cs="Times New Roman"/>
          <w:sz w:val="24"/>
          <w:highlight w:val="none"/>
        </w:rPr>
      </w:pPr>
    </w:p>
    <w:p w14:paraId="5D2C5E8D">
      <w:pPr>
        <w:adjustRightInd w:val="0"/>
        <w:spacing w:line="360" w:lineRule="auto"/>
        <w:contextualSpacing/>
        <w:jc w:val="left"/>
        <w:rPr>
          <w:rFonts w:ascii="宋体" w:hAnsi="宋体" w:eastAsia="宋体" w:cs="Times New Roman"/>
          <w:sz w:val="24"/>
          <w:highlight w:val="none"/>
        </w:rPr>
      </w:pPr>
    </w:p>
    <w:p w14:paraId="7A5F3639">
      <w:pPr>
        <w:adjustRightInd w:val="0"/>
        <w:spacing w:line="360" w:lineRule="auto"/>
        <w:ind w:firstLine="480" w:firstLineChars="200"/>
        <w:contextualSpacing/>
        <w:jc w:val="left"/>
        <w:rPr>
          <w:rFonts w:ascii="宋体" w:hAnsi="宋体" w:eastAsia="宋体" w:cs="Times New Roman"/>
          <w:sz w:val="24"/>
          <w:highlight w:val="none"/>
        </w:rPr>
      </w:pPr>
    </w:p>
    <w:p w14:paraId="14D3B067">
      <w:pPr>
        <w:spacing w:line="360" w:lineRule="auto"/>
        <w:ind w:firstLine="480" w:firstLineChars="200"/>
        <w:contextualSpacing/>
        <w:rPr>
          <w:rFonts w:ascii="宋体" w:hAnsi="宋体" w:eastAsia="宋体" w:cs="Times New Roman"/>
          <w:i/>
          <w:iCs/>
          <w:sz w:val="24"/>
          <w:highlight w:val="none"/>
        </w:rPr>
      </w:pPr>
      <w:r>
        <w:rPr>
          <w:rFonts w:ascii="宋体" w:hAnsi="宋体" w:eastAsia="宋体" w:cs="Times New Roman"/>
          <w:sz w:val="24"/>
          <w:highlight w:val="none"/>
        </w:rPr>
        <w:t>3. 验收标准</w:t>
      </w:r>
    </w:p>
    <w:p w14:paraId="239F8496">
      <w:pPr>
        <w:widowControl/>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（1）验收要求</w:t>
      </w:r>
    </w:p>
    <w:p w14:paraId="5A93B6FC">
      <w:pPr>
        <w:widowControl/>
        <w:spacing w:line="360" w:lineRule="auto"/>
        <w:ind w:firstLine="482" w:firstLineChars="200"/>
        <w:contextualSpacing/>
        <w:rPr>
          <w:rFonts w:ascii="宋体" w:hAnsi="宋体" w:eastAsia="宋体" w:cs="Times New Roman"/>
          <w:b/>
          <w:sz w:val="24"/>
          <w:highlight w:val="none"/>
        </w:rPr>
      </w:pPr>
      <w:r>
        <w:rPr>
          <w:rFonts w:hint="eastAsia" w:ascii="宋体" w:hAnsi="宋体" w:eastAsia="宋体" w:cs="Times New Roman"/>
          <w:b/>
          <w:sz w:val="24"/>
          <w:highlight w:val="none"/>
        </w:rPr>
        <w:t>★要求提供车辆应为合同签订日期前6个月之内或合同签订日期之后生产的产品，整车交付(不含购置税及上牌费) （提供承诺书，格式自拟，并加盖投标人公章）。</w:t>
      </w:r>
    </w:p>
    <w:p w14:paraId="25169644">
      <w:pPr>
        <w:widowControl/>
        <w:spacing w:line="360" w:lineRule="auto"/>
        <w:ind w:firstLine="482" w:firstLineChars="200"/>
        <w:contextualSpacing/>
        <w:rPr>
          <w:rFonts w:ascii="宋体" w:hAnsi="宋体" w:eastAsia="宋体" w:cs="Times New Roman"/>
          <w:b/>
          <w:sz w:val="24"/>
          <w:highlight w:val="none"/>
        </w:rPr>
      </w:pPr>
    </w:p>
    <w:p w14:paraId="0AA9B402">
      <w:pPr>
        <w:spacing w:line="360" w:lineRule="auto"/>
        <w:ind w:firstLine="480" w:firstLineChars="200"/>
        <w:contextualSpacing/>
        <w:rPr>
          <w:rFonts w:ascii="宋体" w:hAnsi="宋体" w:eastAsia="宋体" w:cs="Times New Roman"/>
          <w:sz w:val="24"/>
          <w:highlight w:val="none"/>
        </w:rPr>
      </w:pPr>
      <w:r>
        <w:rPr>
          <w:rFonts w:ascii="宋体" w:hAnsi="宋体" w:eastAsia="宋体" w:cs="Times New Roman"/>
          <w:sz w:val="24"/>
          <w:highlight w:val="none"/>
        </w:rPr>
        <w:t>4. 其他要求（如有）</w:t>
      </w:r>
    </w:p>
    <w:p w14:paraId="447CEA40">
      <w:pPr>
        <w:spacing w:line="360" w:lineRule="auto"/>
        <w:ind w:firstLine="480" w:firstLineChars="200"/>
        <w:rPr>
          <w:rFonts w:ascii="宋体" w:hAnsi="宋体" w:eastAsia="宋体" w:cs="Times New Roman"/>
          <w:sz w:val="24"/>
          <w:highlight w:val="none"/>
        </w:rPr>
      </w:pPr>
      <w:r>
        <w:rPr>
          <w:rFonts w:hint="eastAsia" w:ascii="宋体" w:hAnsi="宋体" w:eastAsia="宋体" w:cs="东文宋体"/>
          <w:bCs/>
          <w:sz w:val="24"/>
          <w:highlight w:val="none"/>
        </w:rPr>
        <w:t>（1）</w:t>
      </w:r>
      <w:r>
        <w:rPr>
          <w:rFonts w:hint="eastAsia" w:ascii="宋体" w:hAnsi="宋体" w:eastAsia="宋体" w:cs="Times New Roman"/>
          <w:bCs/>
          <w:sz w:val="24"/>
          <w:highlight w:val="none"/>
        </w:rPr>
        <w:t>投标企业提供应急保障措施详细方案，车辆突发损坏处理方案、车辆交通事故应急处理方案、车辆备件等应急保障措施。</w:t>
      </w:r>
    </w:p>
    <w:p w14:paraId="1038A69D">
      <w:pPr>
        <w:spacing w:after="160" w:line="278" w:lineRule="auto"/>
        <w:rPr>
          <w:rFonts w:ascii="宋体" w:hAnsi="宋体" w:eastAsia="宋体" w:cs="宋体"/>
          <w:sz w:val="24"/>
          <w:highlight w:val="none"/>
        </w:rPr>
      </w:pPr>
    </w:p>
    <w:p w14:paraId="6FE186CE">
      <w:pPr>
        <w:spacing w:line="360" w:lineRule="auto"/>
        <w:ind w:firstLine="480" w:firstLineChars="200"/>
        <w:contextualSpacing/>
        <w:rPr>
          <w:rFonts w:ascii="宋体" w:hAnsi="宋体" w:eastAsia="宋体" w:cs="Times New Roman"/>
          <w:sz w:val="24"/>
          <w:highlight w:val="none"/>
        </w:rPr>
      </w:pPr>
      <w:r>
        <w:rPr>
          <w:rFonts w:hint="eastAsia" w:ascii="宋体" w:hAnsi="宋体" w:eastAsia="宋体" w:cs="Times New Roman"/>
          <w:sz w:val="24"/>
          <w:highlight w:val="none"/>
        </w:rPr>
        <w:t>5</w:t>
      </w:r>
      <w:r>
        <w:rPr>
          <w:rFonts w:ascii="宋体" w:hAnsi="宋体" w:eastAsia="宋体" w:cs="Times New Roman"/>
          <w:sz w:val="24"/>
          <w:highlight w:val="none"/>
        </w:rPr>
        <w:t>.</w:t>
      </w:r>
      <w:r>
        <w:rPr>
          <w:rFonts w:hint="eastAsia" w:ascii="宋体" w:hAnsi="宋体" w:eastAsia="宋体" w:cs="Times New Roman"/>
          <w:sz w:val="24"/>
          <w:highlight w:val="none"/>
        </w:rPr>
        <w:t>环保专项承诺</w:t>
      </w:r>
    </w:p>
    <w:p w14:paraId="0B05AA57">
      <w:pPr>
        <w:snapToGrid w:val="0"/>
        <w:spacing w:after="160" w:line="360" w:lineRule="auto"/>
        <w:ind w:firstLine="482" w:firstLineChars="200"/>
        <w:rPr>
          <w:rFonts w:ascii="宋体" w:hAnsi="宋体" w:eastAsia="宋体" w:cs="Times New Roman"/>
          <w:b/>
          <w:bCs/>
          <w:sz w:val="24"/>
          <w:highlight w:val="none"/>
        </w:rPr>
      </w:pPr>
      <w:r>
        <w:rPr>
          <w:rFonts w:hint="eastAsia" w:ascii="宋体" w:hAnsi="宋体" w:eastAsia="宋体" w:cs="Times New Roman"/>
          <w:b/>
          <w:bCs/>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未提供该承诺的按照无效投标处理。</w:t>
      </w:r>
    </w:p>
    <w:p w14:paraId="545884D1">
      <w:pPr>
        <w:snapToGrid w:val="0"/>
        <w:spacing w:after="160"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（二）根据《北京市财政局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eastAsia="宋体" w:cs="Times New Roman"/>
          <w:b/>
          <w:bCs/>
          <w:sz w:val="24"/>
          <w:highlight w:val="none"/>
        </w:rPr>
        <w:t>本项承诺为非实质响应条款，投标人可根据实际情况自行提供。</w:t>
      </w:r>
    </w:p>
    <w:p w14:paraId="0414040A">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东文宋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364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2026-08-24T02:58:07Z</dcterms:created>
  <dc:creator>user</dc:creator>
  <cp:lastModifiedBy>HJT</cp:lastModifiedBy>
  <dcterms:modified xsi:type="dcterms:W3CDTF">2026-08-24T02:58:17Z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2A72C9B6396F47C6A5E5B0B03C46E1E9_12</vt:lpwstr>
  </property>
</Properties>
</file>